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ДОГОВОР №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этаж / № квартиры)</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 Санкт-Петербург</w:t>
        <w:tab/>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года</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Общество с ограниченной ответственностью «Агентство Развития Территорий»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являющееся юридическим лицом в соответствии с действующим законодательством Российской Федерации, Свидетельство о внесении записи в ЕГРЮЛ серии 78 №009101761 выдано налоговым органом «Межрегиональная инспекция Федеральной налоговой службы №15 по Санкт-Петербургу» 21 апреля 2014г., ОГРН 1147847144224,  ИНН 7804531413/КПП 780401001, Устав утвержден решением общего собрания участников протокол б/н от 06 июля 2016 года, зарегистрирован Межрайонной ИФНС России №15 по Санкт-Петербургу 14 июля 2016 года, место нахождения: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г. Санкт-Петербург, ул. Мытнинская, д. 12/44, лит. А, пом. 13Н: ч.п. 44, офис 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лице Генерального директора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Шилова Сергей Игоревича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действующего на основании Устава, именуемое в дальнейшем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«Застройщик»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 одной стороны, и</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Граждан</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ин (-ка)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Российской Федерации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пол-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года рождения, место рождения: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паспорт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выдан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года, К/П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СНИЛС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зарегистрированн</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ый(-ая)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адресу: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именуем</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ый(ая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далее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«Участник долевого строительства»,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 другой стороны, при совместном упоминании именуемые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«Стороны»,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по отдельности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«Сторона»,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заключили настоящий Договор №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участия в долевом строительстве от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года (далее по тексту – «Договор») о нижеследующем:</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8535"/>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понятия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8535"/>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Застройщик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Общество с ограниченной ответственностью «Агентство Развития Территорий»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являющееся юридическим лицом по законодательству Российской Федерации.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Застройщик имеет право на привлечение денежных средств участников долевого строительства в соответствии с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следующих документов:</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Договора аренды земельного участка от 01 ноября 2016г. Кадастровый номер земельного участка (47:07:0405002:70); категория земель: земли населенных пунктов; вид разрешенного использования: для строительства жилых домов до трех этажей; площадь земельного участка: 2000 кв.м.;</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Разрешения на строительство № 47-RU 47504301-555-2016 от 07 декабря 2016г. выдано Администрацией муниципального образования «Всеволожский муниципальный район» Ленинградской области;</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Проектная декларация, включающая в себя информацию о Застройщике и о проекте строительства Объекта, размещенной  в сети «Интернет», от «13» декабря 2016 г. по адресу: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http://vartemagi.ru/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Участник долевого строительства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11"/>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Объект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многоквартирный жилой дом, расположенный по строительному адресу: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Ленинградская область, Всеволожский муниципальный район, Агалатовское сельское поселение, д. Вартемяги, ул. Колхозная, уч.4Б.</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Объект долевого строительства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(Квартира)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жилое помещение (квартира) в соответствии с Приложением №1, общее имущество в Объекте,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строящихся (создаваемых) с привлечением денежных средств Участников долевого строительства.</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Федеральный закон №214-ФЗ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ПРЕДМЕТ ДОГОВОРА</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1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По настоящему Договору Застройщик обязуется в предусмотренный Договором срок своими силами и (или) с привлечением других лиц построить (создать)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многоквартирный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жилой дом,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расположенный по строительному адресу: Ленинградская область, Всеволожский муниципальный район, Агалатовское сельское поселение, д. Вартемяги, ул. Колхозная,  уч. 4Б</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 после получения Разрешения на ввод Объекта в эксплуатацию, в срок установленный Договором, передать Участнику долевого строительства жилое помещение (Объект долевого строительства) в Объекте,</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имеющее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условный №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(далее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Квартира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1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11"/>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Количество комнат</w:t>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Этаж                                                                                                                                            </w:t>
        <w:tab/>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___</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Проектная площадь, включающая площади лоджий</w:t>
        <w:tab/>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63,40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кв.м.</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Общая площадь (ч.5 ст. 15 ЖК РФ)                                                                             </w:t>
        <w:tab/>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57,40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кв.м.</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Площадь лоджии (с коэффициентом 0,5</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                                                                          3,00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кв.м.</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Строительные оси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11-15; А-Е</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1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Участник долевого строительства обязуется уплатить обусловленную Договором цену в порядке и на условиях Договора и принять Квартиру с оформлением соответствующих документов.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Технические характеристики, а также планировка Квартиры определены Приложением № 1 к Договору и проектной документацией.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Право собственности Участника долевого строительства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«регистрирующий орган») при предъявлении Участником долевого строительства на регистрацию требуемых действующим законодательством документов.</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На момент заключения Договора Застройщиком не заключен договор участия в долевом строительстве с другими лицами,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этих лиц на Квартиру.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ДОГОВОРА И УСЛОВИЯ ОПЛАТЫ</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Цена Договора (Долевой взнос) составляет сумму в размере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3 020 000,00 (Три миллиона двадцать тысяч) рублей 00 копеек</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НДС не облагается.</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Общий размер Долевого взноса не привязан жестко к стоимости строительства единицы площади Квартиры или Объекта, т.к. зависит от множества факторов, в частности от типа Квартиры, стадии строительства в момент заключения настоящего Договора, кроме того, он рассчитывается при заключении договора с применением индивидуальных коэффициентов или процентов в зависимости от графика оплаты Долевого взноса (периода рассрочки, размеров промежуточных площадей), индивидуальных особенностей оплаты и т.п.</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Уплачиваемые Участником долевого строительства денежные средства целевого финансирования подлежат использованию Застройщиком в соответствии с п.1 ст.5 и п.1 и п.2 ст.18 Федерального                       закона №214-ФЗ.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Участник долевого строительства обязан внести долевой взнос в следующем порядке:</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3 020 000,00 (Три миллиона двадцать тысяч) рублей 00 копеек</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счет собственных денежных средств, в срок до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«30» июня 2019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Участник долевого строительства вправе уплатить цену Договора досрочно, но не ранее даты регистрации настоящего Договора в установленном законом порядке.</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этом Стороны вправе по соглашению Сторон изменить порядок и сроки оплаты долевого взноса, предусмотрев изменение цены Договора.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Цена Договора изменяется в соответствии с условиями п. 5.2. Договора.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По обоюдному добровольному письменному соглашению Участник долевого строительства и Застройщик могут изменить срок и порядок уплаты цены Договора.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Условия изменения цены Договора как отраженные в Договоре, так в нем и не отраженные могут изменяться или вводиться дополнительными соглашениями к Договору.</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Оплата цены Договора производится путем перечисления денежных средств на расчетный счет, указанный в реквизитах Застройщика в Разделе 9 Договора, в том числе с использованием аккредитивной формы расчетов, при этом платёж должен производиться не позднее дня, указанного в качестве срока.  Датой исполнения обязательства по оплате цены Договора считается дата зачисления денежных средств на расчетный счет Застройщика.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Оплата цены Договора может быть осуществлена путем зачета встречных денежных требований. В этом случае датой платежа будет считаться дата составления соглашения о зачете встречных денежных требований.</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Участник долевого строительства не имеет права требовать предоставления ему Застройщиком Квартиры до полной оплаты долевого взноса.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Участник долевого строительства поручает Застройщику, а Застройщик берет на себя обязательства за счет средств Участника долевого строительства, производить финансирование всех работ, услуг и расходов, связанных с выполнением инвестиционного проекта по строительству Объекта, в соответствии с 214-ФЗ.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2.9.  Долевой взнос в строительство Объекта, установленный в п. 2.1.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перерасчета по правилам пункта 5.2. Договора.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2.10. Нарушение сроков и порядка оплаты влечет применение к Участнику долевого строительства санкций, предусмотренных Федеральным законом № 214-ФЗ и разделом 6 Договора. Указанные санкции в цену Договора не включаются и оплачиваются дополнительно.</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2.11. В результате управления инвестиционным процессом у Застройщика может образоваться экономия, которая рассчитывается после окончания инвестиционного цикла. Указанная экономия определяется как разница между ценой Договора (с учетом активов, полученных за счет этих денежных средств) и суммой фактических затрат на реализацию инвестиционного проекта (в расчете на оплачиваемую Участником долевого строительства площадь), сформированной после завершения строительства. Образовавшаяся экономия остается в распоряжении Застройщика, является оплатой услуг Застройщика и облагается НДС по ставке, предусмотренной законодательством РФ на момент окончания инвестиционного цикла.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ОБЯЗАННОСТИ СТОРОН</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tabs>
          <w:tab w:val="left" w:pos="567"/>
        </w:tabs>
        <w:spacing w:line="240" w:lineRule="auto"/>
        <w:ind w:right="50" w:firstLine="567"/>
        <w:rPr>
          <w:b w:val="0"/>
          <w:sz w:val="20"/>
          <w:szCs w:val="20"/>
          <w:vertAlign w:val="baseline"/>
        </w:rPr>
      </w:pPr>
      <w:r w:rsidDel="00000000" w:rsidR="00000000" w:rsidRPr="00000000">
        <w:rPr>
          <w:b w:val="1"/>
          <w:sz w:val="20"/>
          <w:szCs w:val="20"/>
          <w:vertAlign w:val="baseline"/>
          <w:rtl w:val="0"/>
        </w:rPr>
        <w:t xml:space="preserve">3.1.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 Обязуется произвести оплату в объеме, сроки и порядке, указанные в Приложении № 2 и иных разделах Договора.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3.1.2. Обязуется оказывать Застройщику необходимое содействие в реализации инвестиционного проекта по вопросам, входящим в компетенцию Участника долевого строительства.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3.1.3. Имеет право уступать свои права и обязанности по Договору третьим лицам при соблюдении всех следующих условий:</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период с момента государственной регистрации Договора до момента подписания Сторонами Акта приема-передачи;</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самостоятельно и за свой счет осуществить действия, связанные с поиском такого третьего лица и обеспечить участие последнего в процедуре оформления необходимых документов;</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обязуется предоставить Застройщику в течение 3 (Трех) дней после заключения договора уступки его оригинал или нотариально заверенную копию для учетной регистрации в Реестре Застройщика.</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900"/>
        </w:tabs>
        <w:spacing w:after="0" w:before="0" w:line="240" w:lineRule="auto"/>
        <w:ind w:left="0" w:right="48"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3.1.4. Обязуется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900"/>
        </w:tabs>
        <w:spacing w:after="0" w:before="0" w:line="240" w:lineRule="auto"/>
        <w:ind w:left="0" w:right="48"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3.1.5.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в порядке и в сроки, предусмотренные разделом 4 настоящего Договора.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900"/>
        </w:tabs>
        <w:spacing w:after="0" w:before="0" w:line="240" w:lineRule="auto"/>
        <w:ind w:left="0" w:right="4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3.1.6.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3.1.7.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tabs>
          <w:tab w:val="left" w:pos="-2694"/>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3.1.8.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3.1.9. Уплатить Застройщику предусмотренные Договором и (или) действующим законодательством РФ неустойки (штрафы, пени) до подписания Акта приема-передачи.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tabs>
          <w:tab w:val="left" w:pos="-2694"/>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3.1.10. 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 в том числе документ об оплате государственной пошлины.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3.1.11. При осуществлении платежей по Договору указывать следующее назначение платежа: «Оплата по договору участия в долевом строительстве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___ от «__» _____ 20__ 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НДС не облагается»;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3.1.12. Обязуется выполнить все свои обязательства, указанные в иных разделах Договора.</w:t>
      </w:r>
    </w:p>
    <w:p w:rsidR="00000000" w:rsidDel="00000000" w:rsidP="00000000" w:rsidRDefault="00000000" w:rsidRPr="00000000" w14:paraId="0000004F">
      <w:pPr>
        <w:tabs>
          <w:tab w:val="left" w:pos="567"/>
        </w:tabs>
        <w:spacing w:line="240" w:lineRule="auto"/>
        <w:ind w:firstLine="567"/>
        <w:rPr>
          <w:b w:val="0"/>
          <w:sz w:val="20"/>
          <w:szCs w:val="20"/>
          <w:vertAlign w:val="baseline"/>
        </w:rPr>
      </w:pPr>
      <w:r w:rsidDel="00000000" w:rsidR="00000000" w:rsidRPr="00000000">
        <w:rPr>
          <w:b w:val="1"/>
          <w:sz w:val="20"/>
          <w:szCs w:val="20"/>
          <w:vertAlign w:val="baseline"/>
          <w:rtl w:val="0"/>
        </w:rPr>
        <w:t xml:space="preserve">3.2. Права и обязанности Застройщика:</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3.2.1. Привлекать Участника долевого строительства к инвестированию строительства Объекта в объеме и на условиях настоящего Договора.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3.2.2.  Обеспечить выполнение функций Заказчика-Застройщика (оказание услуг Застройщика).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48"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3.2.4. Осуществлять координацию реализации инвестиционного проекта, передачу Объекта долевого строительства по Акту приема-передачи не позднее срока, указанного в п. 4.1. Договора.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tabs>
          <w:tab w:val="left" w:pos="567"/>
          <w:tab w:val="left" w:pos="113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3.2.5. Предоставлять по письменному требованию Участника долевого строительства информацию о ходе строительства Объекта.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2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3.2.6.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5"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3.2.7. Обязуется выполнить все свои обязательства, указанные в иных разделах Договора.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СРОКИ И ПОРЯДОК ПЕРЕДАЧИ КВАРТИРЫ</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Застройщик обязуется передать Участнику долевого строительства квартиру по акту приема-передачи после получения Разрешения на ввод объекта в эксплуатацию, но не позднее </w:t>
      </w:r>
      <w:r w:rsidDel="00000000" w:rsidR="00000000" w:rsidRPr="00000000">
        <w:rPr>
          <w:sz w:val="20"/>
          <w:szCs w:val="20"/>
          <w:rtl w:val="0"/>
        </w:rPr>
        <w:t xml:space="preserve">28 декабря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2020 года.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приемки квартиры.</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Уведомление о завершении строительства Объекта и готовности квартиры к передаче должно быть направлено Участнику долевого строительства не позднее, чем за месяц до наступления срока, указанного в п.4.1. настоящего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Участнику долевого строительства под расписку. Уведомление о завершении строительства Объекта и готовности квартиры к передаче не будет являться досрочным, если оно отправлено ранее, чем за один месяц до окончания срока передачи, но в пределах срока, указанного в п. 4.1. Договора.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 Участник долевого строительства, получивший уведомление Застройщика о завершении строительства Объекта и готовности квартиры к передаче, обязан произвести осмотр и принять Квартиру по Акту приема-передачи в течение 14 (Четырнадцати) рабочих дней с момента получения уведомления Застройщика, за исключением случая, предусмотренного п. 4.5. настоящего Договора.</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Застройщик считается не нарушившим срок передачи Квартиры, указанный в п. 4.1. Договора, если уведомление о завершении строительства Объекта и готовности Квартиры к передаче будет направлено Участнику долевого строительства в срок, указанный в п. 4.2. Договора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4.1. Договора.</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Участник долевого строительства имеет право отказаться от приемки Квартиры и подписания Акта приема-передачи квартиры только в случае, если в результате осмотра квартиры Сторонами был составлен акт осмотра с перечнем несоответствий передаваемой квартиры условиям Договора, проектной документации, техническим регламентам. После устранения несоответствий (недостатков) передаваемой квартиры в порядке, определенном п. 4.6. Договора Участник долевого строительства обязан принять Квартиру по Акту приема-передачи в течение 2-х дней после получения Участником долевого строительства извещения об устранении несоответствий (недостатков). Сообщение об устранении несоответствий (недостатков) и о готовности Квартиры к повторной передаче может быть направлено Участнику долевого строительства в любое время заказным письмом, с описью вложения и уведомлением о вручении.</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При уклонении Участника долевого строительства от принятия Квартиры в предусмотренный пунктом 4.3. Договора срок, и/или при отказе Участника долевого строительства от принятия Квартиры (за исключением случая, указанного в п. 4.5. Договора) Застройщик по истечении двух месяцев с момента истечения срока, указанного в п. 4.1. Договора составляет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почтовому адресу.</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этом расходы по содержанию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w:t>
      </w:r>
    </w:p>
    <w:p w:rsidR="00000000" w:rsidDel="00000000" w:rsidP="00000000" w:rsidRDefault="00000000" w:rsidRPr="00000000" w14:paraId="0000006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59" w:right="0" w:hanging="105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силу ст. 15.2. Федерального закона № 214-ФЗ, исполнение обязательств Застройщика по</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КАЧЕСТВО КВАРТИРЫ И ОБЪЕКТА</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Застройщик обязан передать Участнику долевого строительства квартиру, комплектность и качество которой соответствует условиям настоящего Договора и проектной документации, а также нормативным требованиям, при этом Стороны определили, что разрешение на ввод в эксплуатацию Объекта является подтверждением соответствия Объекта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Стороны признают, что площадь квартиры, передаваемой Участнику долевого строительства, может отличаться от площади, указанной в Приложении № 1 к Договору,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отклонение площади Квартиры, по результатам обмеров ПИБ, от общей площади Квартиры, указанной в Приложении № 1 к Договору, в пределах 5 (Пяти) %, как в большую, так и в меньшую сторону.</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случае отклонения общей площади Квартиры (за исключением площадей балконов и/или лоджий) по данным государственного технического учета и технической инвентаризации от соответствующей площади, указанной в Приложении № 1 к Договору, более чем на 5 (Пять) %, в сторону увеличения, Участник долевого строительства обязан в течение 15 (Пятнадцати)  дней со дня получения от Застройщика сообщения об этом, но в любом случае не позднее даты подписания Акта приема-передачи Квартиры с Застройщиком, произвести оплату за указанную разницу, исходя из стоимости одного квадратного метра, указанной п. 5.3. Договора, на расчетный счет Застройщика.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случае отклонения общей площади Квартиры (за исключением площадей балконов и/или лоджий) по данным государственного технического учета и технической инвентаризации от соответствующей площади, указанной в Приложении № 1 к Договору, более чем на 5 (Пять) % в сторону уменьшения, Застройщик обязан возвратить разницу, исходя из стоимости одного квадратного метра, указанной в п. 5.3. Договора. Возврат такой суммы осуществляется Застройщиком в течение 15 (Пятнадцати) дней со дня получения от Участника долевого строительства соответствующего заявления, с указанием счета, на который должен быть произведен возврат.  Застройщик имеет право не исполнять денежных обязательств перед Участником долевого строительства в соответствии с настоящим пунктом, до получения письменного заявления Участника долевого строительства со всеми реквизитами счета Участника долевого строительства.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Расчетная цена одного квадратного метра согласована и составляет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__________ руб. (___________) 00 копеек</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Расчетная цена установлена для одного квадратного метра проектной площади Квартиры (с учетом коэффициентов), а также применяется в случаях изменения цены Договора и осуществления взаиморасчетов при уменьшении или увеличении общей площади Квартиры (без учета лоджий и/или балконов). По тексту Договора общая площадь Квартиры понимается согласно Жилищному кодексу РФ без учета площадей балконов и/или лоджий.</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первом абзаце п. 5.2. Договора.</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 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и Договору.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 Под существенным нарушением требований о качестве Квартиры, понимается непригодность Квартиры в целом, либо каких-либо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года, и иными законодательными актами.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 В рамках настоящего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Квартиры изменения, производимые Застройщиком в Объекте, в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Гарантийный срок на Объект составляет 5 (Пять) лет. Течение гарантийного срока на Объект начинается с даты передачи Объекта Участнику долевого строительства. Гарантийный срок для технологического и инженерного оборудования, входящего в состав Объекта долевого строительства, составляет 3 (Три) года. Течение гарантийного срока для технологического и инженерного оборудования начинается с даты подписания Акта приема-передачи Квартиры.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(в том числе переустройств, перепланировок), проведенного самими Участник долевого строительствами или привлеченными ими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 В случае непринятия Участником долевого строительства без мотивированного обоснования Квартиры в срок, установленный Договором, Застройщик не несет ответственность за изменение (ухудшение) ее качества.</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ОТВЕТСТВЕННОСТЬ СТОРОН</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Стороны несут ответственность при наличии вины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709"/>
          <w:tab w:val="left" w:pos="1034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6.2.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6.3. В случае нарушения обязанности по п. 3.1.6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 В случае нарушения Участником долевого строительства срока внесения платежа, Предусмотренного Приложением № 2 к настоящему Договору, более чем на 5 (Пять) календарных дней,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Договору.</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 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наступления таких обстоятельств.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 Все, что не предусмотрено условиями Договора, регулируется действующим законодательством Российской Федерации.</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СРОК ДЕЙСТВИЯ И ПОРЯДОК ИЗМЕНЕНИЯ И РАСТОРЖЕНИЯ ДОГОВОРА</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Договор считается заключенным с момента его государственной регистрации.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 Обязательства Застройщика по Договору считаются исполненными с момента подписания Сторонами Акта приема-передачи Квартиры.</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 Обязательства Участника долевого строительства по Договору считаются исполненными с момента уплаты ими в полном объеме денежных средств в соответствии с Договором и подписания Сторонами Акта приема-передачи Квартиры.</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 Договор может быть расторгнут:</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соглашению Сторон;</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выполнению Сторонами своих обязательств по Договору;</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решению суда;</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 одностороннем отказе Стороны в тех случаях, когда односторонний отказ допускается действующим законодательством.</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7.5. Участник долевого строительства вправе в одностороннем порядке отказаться от исполнения Договора в случаях, установленных Федеральным законом №214-ФЗ.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7.6. Застройщик вправе в одностороннем порядке отказаться от исполнения Договора в порядке, предусмотренном Федеральным законом №214-ФЗ в случаях:</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единовременной оплате – в случае просрочки внесения платежа в течение более чем 2 (Два) месяца;</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 В случае наличия оснований для одностороннего отказа Застройщика от исполнения Договора, предусмотренных п.7.6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в порядке, предусмотренном п.4.2 Договора, предупреждения о необходимости погашения им задолженности по уплате цены Договора и о последствиях неисполнения такого требования.</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7.8.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7.9. В случаях, предусмотренных в п. 7.5-7.6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7.10.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7.11.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Расторжение Договора в этом случае оформляется соглашением Сторон в письменной форме, подлежащим государственной регистрации.</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7.12. Срок окончания строительства Объекта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4.1. Договора остается неизменным.</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ПРОЧИЕ УСЛОВИЯ</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Застройщик вправе не передавать (удерживать) Квартиру Участнику долевого строительства до момента выполнения денежных обязательств, предусмотренных Договором и (или) действующим законодательством Российской Федерации, перед Застройщиком. Применительно к условиям п.п. 3.1.5. Договора, днем получения уведомления Участником долевого строительства является:</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день его передачи Участнику долевого строительства лично, либо его представителю под расписку;</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день, определяемый по правилам оказания услуг почтовой связи, соответствующего оператора, если уведомление отправлено по почте регистрируемым почтовым отправлением с описью вложения и уведомлением о вручении.</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 Если уведомление было направлено/передано Участнику долевого строительства несколькими способами, указанными в п. 8.1. Договора, днем получения такого уведомления будет считаться наиболее ранняя дата его получения одним из таких способов.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 Применительно к другим условиям Договора днем получения уведомления Участником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в адрес Участника долевого строительства, указанный в Разделе 9 Договора как «РЕКВИЗИТЫ СТОРОН», в зависимости от того, какая дата наступит раньше.</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 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разделом 4. Договора. При уклонении Участника долевого строительства от такой досрочной приемки, наступают последствия, предусмотренные в п. 4.6. Договора.</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 До регистрации права собственности Участник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8.6. Во всех случаях, когда, согласно настоящему Договору или в связи с ним, Застройщик несёт обязанность по выплате Участнику долевого строительства каких-либо денежных средств, включая возврат денежных средств и иные выплаты при расторжении Договора, местом исполнения такой обязанности является место нахождения Застройщика.</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 Участник долевого строительства дает свое согласие в соответствие с ФЗ № 152-ФЗ «О персональных данных» на обработку своих персональных данных.</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 Участник долевого строительства дает свое согласие на последующий залог права собственности земельного участка, в том числе в обеспечение исполнения обязательств Застройщика перед другими лицами, в том числе перед кредитными учреждениями (Банком), а также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п.1.1. Договора.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необходимости совершения нотариальных действий, в рамках взаимоотношений Сторон по Договору, оплату за выполнение таких действий осуществляет Участник долевого строительства.</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Участник долевого строительства дает свое согласие на осуществление Застройщиком следующих действий:</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раздел земельного участка, выдел из земельного участка других земельных участков, объединение земельного участка с другими земельными участками, присоединение его к другому земельному участку;</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изменение характеристик земельного участка, а также иных земельных участков, образованных из земельного участка;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осуществление в отношении земельных участков, образованных из земельного участка действий по их разделу, присоединению, объединению;</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строительство на земельном участке и/или иных участках, образованных из земельного участка объектов недвижимости, отчуждение таких объектов и их частей, заключение в отношении них договоров участия в долевом строительстве, договоров товарищества, договоров инвестирования и иных подобных договоров, связанных с отчуждением прав на указанные объекты недвижимости, передачу их в залог (последующий залог).</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разрешаются в судебном порядке, предусмотренном действующим законодательством Российской Федерации, с соблюдением досудебного претензионного порядка. Срок рассмотрения претензий – в течение 1 (Одного) месяца с момента получения.</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8.10. В случае изменения реквизитов, указанных в п. 9 настоящего Договора, Сторона, у которой произошли изменения, обязана в десятидневный срок письменно уведомить другую Сторону по Договору.</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tabs>
          <w:tab w:val="left" w:pos="567"/>
          <w:tab w:val="left" w:pos="1217"/>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8.11. Договор составлен в трех экземплярах: один экземпляр для Застройщика, один для Участника долевого строительства, один экземпляр для уполномоченного регистрирующего органа. Все экземпляры имеют равную юридическую силу. Все приложения, упомянутые в тексте Договора, составляют его неотъемлемую часть.</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tabs>
          <w:tab w:val="left" w:pos="567"/>
          <w:tab w:val="left" w:pos="1217"/>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 РЕКВИЗИТЫ СТОРОН</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1.0" w:type="dxa"/>
        <w:jc w:val="left"/>
        <w:tblInd w:w="0.0" w:type="dxa"/>
        <w:tblLayout w:type="fixed"/>
        <w:tblLook w:val="0000"/>
      </w:tblPr>
      <w:tblGrid>
        <w:gridCol w:w="4503"/>
        <w:gridCol w:w="5068"/>
        <w:tblGridChange w:id="0">
          <w:tblGrid>
            <w:gridCol w:w="4503"/>
            <w:gridCol w:w="5068"/>
          </w:tblGrid>
        </w:tblGridChange>
      </w:tblGrid>
      <w:tr>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Застройщик:</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ООО «Агентство Развития Территорий»</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ИНН     7804531413</w:t>
              <w:br w:type="textWrapping"/>
              <w:t xml:space="preserve">КПП     780401001</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ОГРН   1147847144224</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Юр. адрес: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191144,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г. Санкт-Петербург, ул. Мытнинская, д. 12/44, лит. А, пом. 13Н: ч.п. 44, офис 8</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Фактический адрес: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191144, г. Санкт-Петербург, ул. Мытнинская, д. 12/44, лит. А, пом. 13Н: ч.п. 44, офис 8</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Р/с № 40702810690090000873 в</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ПАО "БАНК "САНКТ-ПЕТЕРБУРГ" г.Санкт-Петербург</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К/с 30101810900000000790</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БИК 044030790</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 8(812) 603-85-55</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Участник долевого строительства:</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Граждан</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ин (ка)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Российской Федерации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пол-_</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года рождения, место рождения: _</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паспорт _</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выдан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года, код подразделения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 СНИЛС _</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Зарегистрированный (ая)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адресу: ___</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 .</w:t>
            </w:r>
          </w:p>
        </w:tc>
      </w:tr>
      <w:tr>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Генеральный директор</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 Шилов С.И./</w:t>
            </w:r>
            <w:r w:rsidDel="00000000" w:rsidR="00000000" w:rsidRPr="00000000">
              <w:rPr>
                <w:rtl w:val="0"/>
              </w:rPr>
            </w:r>
          </w:p>
        </w:tc>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Участник долевого строительства</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_________________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hanging="8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№1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88" w:lineRule="auto"/>
        <w:ind w:left="79" w:right="0" w:firstLine="567.0000000000001"/>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 Договору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участия в долевом строительстве</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88" w:lineRule="auto"/>
        <w:ind w:left="79" w:right="0" w:firstLine="567.0000000000001"/>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от «___» ____ 20__ 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88" w:lineRule="auto"/>
        <w:ind w:left="79" w:right="0" w:firstLine="567.0000000000001"/>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88" w:lineRule="auto"/>
        <w:ind w:left="79" w:right="0" w:firstLine="567.0000000000001"/>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88" w:lineRule="auto"/>
        <w:ind w:left="79" w:right="0" w:firstLine="567.0000000000001"/>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tabs>
          <w:tab w:val="left" w:pos="567"/>
          <w:tab w:val="left" w:pos="68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Технические характеристики Квартиры</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tabs>
          <w:tab w:val="left" w:pos="567"/>
          <w:tab w:val="left" w:pos="68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46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
        <w:gridCol w:w="7188"/>
        <w:gridCol w:w="1723"/>
        <w:tblGridChange w:id="0">
          <w:tblGrid>
            <w:gridCol w:w="552"/>
            <w:gridCol w:w="7188"/>
            <w:gridCol w:w="1723"/>
          </w:tblGrid>
        </w:tblGridChange>
      </w:tblGrid>
      <w:tr>
        <w:tc>
          <w:tcP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Условный номер (на время строительства) </w:t>
            </w:r>
          </w:p>
        </w:tc>
        <w:tc>
          <w:tcP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9</w:t>
            </w:r>
          </w:p>
        </w:tc>
      </w:tr>
      <w:tr>
        <w:tc>
          <w:tcP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комнат</w:t>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w:t>
            </w:r>
          </w:p>
        </w:tc>
      </w:tr>
      <w:tr>
        <w:tc>
          <w:tcP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Этаж</w:t>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2</w:t>
            </w:r>
          </w:p>
        </w:tc>
      </w:tr>
      <w:tr>
        <w:tc>
          <w:tcP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Проектная площадь, включающая площади лоджий</w:t>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63,40</w:t>
            </w:r>
          </w:p>
        </w:tc>
      </w:tr>
      <w:tr>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Общая  площадь (ч.5 ст. 15 ЖК РФ), кв.м.</w:t>
            </w:r>
          </w:p>
        </w:tc>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57,40</w:t>
            </w:r>
          </w:p>
        </w:tc>
      </w:tr>
      <w:tr>
        <w:tc>
          <w:tcP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Площадь лоджий (с коэффициентом 0,5), кв.м.</w:t>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3</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Строительные оси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68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11-15;A-E</w:t>
            </w:r>
          </w:p>
        </w:tc>
      </w:tr>
    </w:tbl>
    <w:p w:rsidR="00000000" w:rsidDel="00000000" w:rsidP="00000000" w:rsidRDefault="00000000" w:rsidRPr="00000000" w14:paraId="000000DD">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Квартира передается без отделки. При этом в квартире: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Бетонная стяжка на полу;</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Стены: керамические блоки; стены и потолок – с заделкой технологических швов; межкомнатные перегородки – пазогребневые;</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Установлены стеклопакеты в соответствии с требованиями нормативной документации;</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Выполнено остекление балкона (лоджии) согласно проекту.</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Выполнен ввод труб канализации в санузел;</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Выполнен ввод водопроводных труб в санузел;</w:t>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Выполнена разводка труб газоснабжения;</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Выполнена разводка электроснабжения по квартире;</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Выполнена разводка труб теплоснабжения, установлены металлические радиаторы с терморегуляторами;</w:t>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Счетчики электроснабжения и устройства автоматического отключения, счетчики горячей и холодной воды;</w:t>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Вентиляция - естественная индивидуальная вытяжная. Приток воздуха осуществляется через инфильтрационные клапаны;</w:t>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Установлена газовая плита, газовый счетчик и газовый котел согласно проектной документации;</w:t>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Отсутствуют сантехнические приборы;</w:t>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Межкомнатные двери не устанавливаются</w:t>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Входная металлическая дверь.</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28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Планировочное решение Квартиры</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6117590" cy="50895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7590" cy="5089525"/>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854.0" w:type="dxa"/>
        <w:jc w:val="left"/>
        <w:tblInd w:w="0.0" w:type="dxa"/>
        <w:tblLayout w:type="fixed"/>
        <w:tblLook w:val="0000"/>
      </w:tblPr>
      <w:tblGrid>
        <w:gridCol w:w="4656"/>
        <w:gridCol w:w="277"/>
        <w:gridCol w:w="4921"/>
        <w:tblGridChange w:id="0">
          <w:tblGrid>
            <w:gridCol w:w="4656"/>
            <w:gridCol w:w="277"/>
            <w:gridCol w:w="4921"/>
          </w:tblGrid>
        </w:tblGridChange>
      </w:tblGrid>
      <w:tr>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Застройщик:</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tabs>
                <w:tab w:val="left" w:pos="567"/>
                <w:tab w:val="left" w:pos="6840"/>
              </w:tabs>
              <w:spacing w:after="0" w:before="0" w:line="28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Шилов С.И.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Участник долевого строительства:</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_________________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2</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88" w:lineRule="auto"/>
        <w:ind w:left="79" w:right="0" w:firstLine="567.0000000000001"/>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 Договору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участия в долевом строительстве</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88" w:lineRule="auto"/>
        <w:ind w:left="79" w:right="0" w:firstLine="567.0000000000001"/>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от «___» ____ 20__ 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договора и график внесения долевого взноса </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Цена Договора (Долевой взнос) составляет сумму в размере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3 020 000,00 (Три миллиона двадцать тысяч) рублей 00 копеек</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НДС не облагается.</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Сторонами согласован следующий график внесения долевого взноса:</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479"/>
        <w:tblGridChange w:id="0">
          <w:tblGrid>
            <w:gridCol w:w="2268"/>
            <w:gridCol w:w="7479"/>
          </w:tblGrid>
        </w:tblGridChange>
      </w:tblGrid>
      <w:tr>
        <w:tc>
          <w:tcPr>
            <w:tcBorders>
              <w:right w:color="000000" w:space="0" w:sz="4" w:val="single"/>
            </w:tcBorders>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993"/>
                <w:tab w:val="left" w:pos="684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Сумма платежа (руб.)</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993"/>
                <w:tab w:val="left" w:pos="684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Срок оплаты</w:t>
            </w:r>
            <w:r w:rsidDel="00000000" w:rsidR="00000000" w:rsidRPr="00000000">
              <w:rPr>
                <w:rtl w:val="0"/>
              </w:rPr>
            </w:r>
          </w:p>
        </w:tc>
      </w:tr>
      <w:tr>
        <w:trPr>
          <w:trHeight w:val="170" w:hRule="atLeast"/>
        </w:trPr>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3 020 000,00 (Три миллиона двадцать тысяч) рублей 00 копеек</w:t>
            </w:r>
            <w:r w:rsidDel="00000000" w:rsidR="00000000" w:rsidRPr="00000000">
              <w:rPr>
                <w:rtl w:val="0"/>
              </w:rPr>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в срок до «30» июня 2019 года.</w:t>
            </w:r>
            <w:r w:rsidDel="00000000" w:rsidR="00000000" w:rsidRPr="00000000">
              <w:rPr>
                <w:rtl w:val="0"/>
              </w:rPr>
            </w:r>
          </w:p>
        </w:tc>
      </w:tr>
    </w:tb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854.0" w:type="dxa"/>
        <w:jc w:val="left"/>
        <w:tblInd w:w="0.0" w:type="dxa"/>
        <w:tblLayout w:type="fixed"/>
        <w:tblLook w:val="0000"/>
      </w:tblPr>
      <w:tblGrid>
        <w:gridCol w:w="4637"/>
        <w:gridCol w:w="277"/>
        <w:gridCol w:w="4940"/>
        <w:tblGridChange w:id="0">
          <w:tblGrid>
            <w:gridCol w:w="4637"/>
            <w:gridCol w:w="277"/>
            <w:gridCol w:w="4940"/>
          </w:tblGrid>
        </w:tblGridChange>
      </w:tblGrid>
      <w:tr>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Застройщик:</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ffffff" w:val="clear"/>
              <w:tabs>
                <w:tab w:val="left" w:pos="567"/>
                <w:tab w:val="left" w:pos="684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Шилов С.И./                         </w:t>
            </w: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Участник долевого строительства:</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________________________/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w:t>
            </w:r>
            <w:r w:rsidDel="00000000" w:rsidR="00000000" w:rsidRPr="00000000">
              <w:rPr>
                <w:rtl w:val="0"/>
              </w:rPr>
            </w:r>
          </w:p>
        </w:tc>
      </w:tr>
    </w:tb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footerReference r:id="rId9" w:type="even"/>
      <w:pgSz w:h="16838" w:w="11906"/>
      <w:pgMar w:bottom="1134" w:top="1134" w:left="1134" w:right="1134" w:header="68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7"/>
      <w:numFmt w:val="decimal"/>
      <w:lvlText w:val="%1.%2."/>
      <w:lvlJc w:val="left"/>
      <w:pPr>
        <w:ind w:left="1759" w:hanging="1050"/>
      </w:pPr>
      <w:rPr>
        <w:vertAlign w:val="baseline"/>
      </w:rPr>
    </w:lvl>
    <w:lvl w:ilvl="2">
      <w:start w:val="1"/>
      <w:numFmt w:val="decimal"/>
      <w:lvlText w:val="%1.%2.%3."/>
      <w:lvlJc w:val="left"/>
      <w:pPr>
        <w:ind w:left="2108" w:hanging="1050"/>
      </w:pPr>
      <w:rPr>
        <w:vertAlign w:val="baseline"/>
      </w:rPr>
    </w:lvl>
    <w:lvl w:ilvl="3">
      <w:start w:val="1"/>
      <w:numFmt w:val="decimal"/>
      <w:lvlText w:val="%1.%2.%3.%4."/>
      <w:lvlJc w:val="left"/>
      <w:pPr>
        <w:ind w:left="2457" w:hanging="1050"/>
      </w:pPr>
      <w:rPr>
        <w:vertAlign w:val="baseline"/>
      </w:rPr>
    </w:lvl>
    <w:lvl w:ilvl="4">
      <w:start w:val="1"/>
      <w:numFmt w:val="decimal"/>
      <w:lvlText w:val="%1.%2.%3.%4.%5."/>
      <w:lvlJc w:val="left"/>
      <w:pPr>
        <w:ind w:left="2836" w:hanging="1079.9999999999998"/>
      </w:pPr>
      <w:rPr>
        <w:vertAlign w:val="baseline"/>
      </w:rPr>
    </w:lvl>
    <w:lvl w:ilvl="5">
      <w:start w:val="1"/>
      <w:numFmt w:val="decimal"/>
      <w:lvlText w:val="%1.%2.%3.%4.%5.%6."/>
      <w:lvlJc w:val="left"/>
      <w:pPr>
        <w:ind w:left="3185" w:hanging="1080"/>
      </w:pPr>
      <w:rPr>
        <w:vertAlign w:val="baseline"/>
      </w:rPr>
    </w:lvl>
    <w:lvl w:ilvl="6">
      <w:start w:val="1"/>
      <w:numFmt w:val="decimal"/>
      <w:lvlText w:val="%1.%2.%3.%4.%5.%6.%7."/>
      <w:lvlJc w:val="left"/>
      <w:pPr>
        <w:ind w:left="3534" w:hanging="1080"/>
      </w:pPr>
      <w:rPr>
        <w:vertAlign w:val="baseline"/>
      </w:rPr>
    </w:lvl>
    <w:lvl w:ilvl="7">
      <w:start w:val="1"/>
      <w:numFmt w:val="decimal"/>
      <w:lvlText w:val="%1.%2.%3.%4.%5.%6.%7.%8."/>
      <w:lvlJc w:val="left"/>
      <w:pPr>
        <w:ind w:left="4243" w:hanging="1440"/>
      </w:pPr>
      <w:rPr>
        <w:vertAlign w:val="baseline"/>
      </w:rPr>
    </w:lvl>
    <w:lvl w:ilvl="8">
      <w:start w:val="1"/>
      <w:numFmt w:val="decimal"/>
      <w:lvlText w:val="%1.%2.%3.%4.%5.%6.%7.%8.%9."/>
      <w:lvlJc w:val="left"/>
      <w:pPr>
        <w:ind w:left="4592" w:hanging="1440"/>
      </w:pPr>
      <w:rPr>
        <w:vertAlign w:val="baseline"/>
      </w:rPr>
    </w:lvl>
  </w:abstractNum>
  <w:abstractNum w:abstractNumId="4">
    <w:lvl w:ilvl="0">
      <w:start w:val="1"/>
      <w:numFmt w:val="bullet"/>
      <w:lvlText w:val="●"/>
      <w:lvlJc w:val="left"/>
      <w:pPr>
        <w:ind w:left="567" w:firstLine="0"/>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spacing w:line="30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vartemagi.ru/" TargetMode="Externa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